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046E" w:rsidRPr="00C34AAB" w:rsidRDefault="0004046E" w:rsidP="0004046E">
      <w:pPr>
        <w:spacing w:line="360" w:lineRule="auto"/>
        <w:jc w:val="center"/>
        <w:rPr>
          <w:b/>
          <w:sz w:val="28"/>
          <w:szCs w:val="28"/>
        </w:rPr>
      </w:pPr>
    </w:p>
    <w:p w:rsidR="0004046E" w:rsidRPr="00C34AAB" w:rsidRDefault="0004046E" w:rsidP="0004046E">
      <w:pPr>
        <w:spacing w:line="360" w:lineRule="auto"/>
        <w:jc w:val="center"/>
        <w:rPr>
          <w:b/>
          <w:sz w:val="28"/>
          <w:szCs w:val="28"/>
        </w:rPr>
      </w:pPr>
      <w:r w:rsidRPr="00C34AAB">
        <w:rPr>
          <w:b/>
          <w:sz w:val="28"/>
          <w:szCs w:val="28"/>
        </w:rPr>
        <w:t>NOTA TÉCNICA DO INSTITUTO BRASILEIRO DE DEFESA DO CONSUMIDOR SOBRE O SÍTIO “TELEFONE NINJA”</w:t>
      </w:r>
    </w:p>
    <w:p w:rsidR="0004046E" w:rsidRPr="00C34AAB" w:rsidRDefault="0004046E" w:rsidP="0004046E">
      <w:pPr>
        <w:spacing w:line="360" w:lineRule="auto"/>
        <w:jc w:val="center"/>
        <w:rPr>
          <w:sz w:val="26"/>
          <w:szCs w:val="26"/>
        </w:rPr>
      </w:pPr>
    </w:p>
    <w:p w:rsidR="0004046E" w:rsidRPr="00C34AAB" w:rsidRDefault="0004046E" w:rsidP="00C34AAB">
      <w:pPr>
        <w:spacing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>Desde segunda-feira (05/06), o sítio Telefone Ninja (</w:t>
      </w:r>
      <w:hyperlink r:id="rId8" w:history="1">
        <w:r w:rsidRPr="00C34AAB">
          <w:rPr>
            <w:rStyle w:val="Hyperlink"/>
            <w:sz w:val="26"/>
            <w:szCs w:val="26"/>
          </w:rPr>
          <w:t>www.telefone.ninja</w:t>
        </w:r>
      </w:hyperlink>
      <w:r w:rsidRPr="00C34AAB">
        <w:rPr>
          <w:sz w:val="26"/>
          <w:szCs w:val="26"/>
        </w:rPr>
        <w:t>) tem sido objeto de amplas discussões em redes sociais por disponibilizar dados pessoais de milhões de brasileiros, expondo informações de telefone fixo, telefone celular, endereço residencial e endereço de e-mail.</w:t>
      </w:r>
    </w:p>
    <w:p w:rsidR="0004046E" w:rsidRPr="00C34AAB" w:rsidRDefault="0004046E" w:rsidP="00C34AAB">
      <w:pPr>
        <w:spacing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>A partir de uma ferramenta de busca localizada no topo de página, é possível visualizar “todas as linhas telefônicas já pertencentes a uma determinada pessoa ou empresa”</w:t>
      </w:r>
      <w:r w:rsidRPr="00C34AAB">
        <w:rPr>
          <w:rStyle w:val="Refdenotaderodap"/>
          <w:sz w:val="26"/>
          <w:szCs w:val="26"/>
        </w:rPr>
        <w:footnoteReference w:id="1"/>
      </w:r>
      <w:r w:rsidRPr="00C34AAB">
        <w:rPr>
          <w:sz w:val="26"/>
          <w:szCs w:val="26"/>
        </w:rPr>
        <w:t xml:space="preserve">. Não há qualquer informação clara e acessível sobre os criadores da página Telefone Ninja. Na seção </w:t>
      </w:r>
      <w:r w:rsidRPr="00C34AAB">
        <w:rPr>
          <w:i/>
          <w:sz w:val="26"/>
          <w:szCs w:val="26"/>
        </w:rPr>
        <w:t>Fale Conosco</w:t>
      </w:r>
      <w:r w:rsidRPr="00C34AAB">
        <w:rPr>
          <w:sz w:val="26"/>
          <w:szCs w:val="26"/>
        </w:rPr>
        <w:t>, há apenas endereço de e-mail para contato.</w:t>
      </w:r>
      <w:r w:rsidRPr="00C34AAB">
        <w:rPr>
          <w:rStyle w:val="Refdenotaderodap"/>
          <w:sz w:val="26"/>
          <w:szCs w:val="26"/>
        </w:rPr>
        <w:footnoteReference w:id="2"/>
      </w:r>
      <w:r w:rsidRPr="00C34AAB">
        <w:rPr>
          <w:sz w:val="26"/>
          <w:szCs w:val="26"/>
        </w:rPr>
        <w:t xml:space="preserve"> </w:t>
      </w:r>
    </w:p>
    <w:p w:rsidR="0004046E" w:rsidRPr="00C34AAB" w:rsidRDefault="0004046E" w:rsidP="00C34AAB">
      <w:pPr>
        <w:spacing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>Considerando que o sítio eletrônico fornece uma modalidade de serviço a consumidores – mesmo que em modalidade gratuita –, é possível argumentar, de início, que há descumprimento do art. 2º do Decreto 7.962/13, por ausência de (i) “nome empresarial e número de inscrição do fornecedor, quando houver, no Cadastro Nacional de Pessoas Físicas ou no Cadastro Nacional de Pessoas Jurídicas”</w:t>
      </w:r>
      <w:r w:rsidRPr="00C34AAB">
        <w:rPr>
          <w:rStyle w:val="Refdenotaderodap"/>
          <w:sz w:val="26"/>
          <w:szCs w:val="26"/>
        </w:rPr>
        <w:footnoteReference w:id="3"/>
      </w:r>
      <w:r w:rsidRPr="00C34AAB">
        <w:rPr>
          <w:sz w:val="26"/>
          <w:szCs w:val="26"/>
        </w:rPr>
        <w:t xml:space="preserve"> e (</w:t>
      </w:r>
      <w:proofErr w:type="spellStart"/>
      <w:r w:rsidRPr="00C34AAB">
        <w:rPr>
          <w:sz w:val="26"/>
          <w:szCs w:val="26"/>
        </w:rPr>
        <w:t>ii</w:t>
      </w:r>
      <w:proofErr w:type="spellEnd"/>
      <w:r w:rsidRPr="00C34AAB">
        <w:rPr>
          <w:sz w:val="26"/>
          <w:szCs w:val="26"/>
        </w:rPr>
        <w:t>) “endereço físico e eletrônico e demais informações necessárias para sua localização e contato”</w:t>
      </w:r>
      <w:r w:rsidRPr="00C34AAB">
        <w:rPr>
          <w:rStyle w:val="Refdenotaderodap"/>
          <w:sz w:val="26"/>
          <w:szCs w:val="26"/>
        </w:rPr>
        <w:footnoteReference w:id="4"/>
      </w:r>
      <w:r w:rsidRPr="00C34AAB">
        <w:rPr>
          <w:sz w:val="26"/>
          <w:szCs w:val="26"/>
        </w:rPr>
        <w:t>.</w:t>
      </w:r>
    </w:p>
    <w:p w:rsidR="0004046E" w:rsidRPr="00C34AAB" w:rsidRDefault="0004046E" w:rsidP="00C34AAB">
      <w:pPr>
        <w:spacing w:after="240" w:line="276" w:lineRule="auto"/>
        <w:jc w:val="both"/>
        <w:rPr>
          <w:sz w:val="26"/>
          <w:szCs w:val="26"/>
        </w:rPr>
      </w:pPr>
      <w:r w:rsidRPr="00C34AAB">
        <w:rPr>
          <w:sz w:val="26"/>
          <w:szCs w:val="26"/>
        </w:rPr>
        <w:t xml:space="preserve">Com relação às </w:t>
      </w:r>
      <w:r w:rsidRPr="00C34AAB">
        <w:rPr>
          <w:sz w:val="26"/>
          <w:szCs w:val="26"/>
          <w:u w:val="single"/>
        </w:rPr>
        <w:t>bases jurídicas para fornecimento dos dados pessoais dos consumidores de serviços de telecomunicações</w:t>
      </w:r>
      <w:r w:rsidRPr="00C34AAB">
        <w:rPr>
          <w:sz w:val="26"/>
          <w:szCs w:val="26"/>
        </w:rPr>
        <w:t>, fazemos os seguintes esclarecimentos:</w:t>
      </w:r>
    </w:p>
    <w:p w:rsidR="0004046E" w:rsidRPr="00C34AAB" w:rsidRDefault="0004046E" w:rsidP="0004046E">
      <w:pPr>
        <w:pStyle w:val="Pargrafoda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C34AAB">
        <w:rPr>
          <w:rFonts w:ascii="Times New Roman" w:hAnsi="Times New Roman" w:cs="Times New Roman"/>
          <w:sz w:val="26"/>
          <w:szCs w:val="26"/>
        </w:rPr>
        <w:t>O sítio Telefone Ninja afirm</w:t>
      </w:r>
      <w:r w:rsidR="00F6141A">
        <w:rPr>
          <w:rFonts w:ascii="Times New Roman" w:hAnsi="Times New Roman" w:cs="Times New Roman"/>
          <w:sz w:val="26"/>
          <w:szCs w:val="26"/>
        </w:rPr>
        <w:t>a que se apoia</w:t>
      </w:r>
      <w:r w:rsidRPr="00C34AAB">
        <w:rPr>
          <w:rFonts w:ascii="Times New Roman" w:hAnsi="Times New Roman" w:cs="Times New Roman"/>
          <w:sz w:val="26"/>
          <w:szCs w:val="26"/>
        </w:rPr>
        <w:t xml:space="preserve"> em “legislação sobre a divulgação pública de dados dos assinantes”</w:t>
      </w:r>
      <w:r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5"/>
      </w:r>
      <w:r w:rsidRPr="00C34AAB">
        <w:rPr>
          <w:rFonts w:ascii="Times New Roman" w:hAnsi="Times New Roman" w:cs="Times New Roman"/>
          <w:sz w:val="26"/>
          <w:szCs w:val="26"/>
        </w:rPr>
        <w:t xml:space="preserve">, citando a Lei Geral de Telecomunicações (Lei nº 9.472/97) e o Regulamento sobre Divulgação de Listas de Assinantes e Lista Telefônica Obrigatória e Gratuita da Agência Nacional de Telecomunicações (Resolução nº 66/1998). No entanto, tais legislações só garantem amparo à divulgação de informações sobre assinantes de </w:t>
      </w:r>
      <w:r w:rsidRPr="00C34AAB">
        <w:rPr>
          <w:rFonts w:ascii="Times New Roman" w:hAnsi="Times New Roman" w:cs="Times New Roman"/>
          <w:b/>
          <w:sz w:val="26"/>
          <w:szCs w:val="26"/>
        </w:rPr>
        <w:t>telefonia fixa</w:t>
      </w:r>
      <w:r w:rsidRPr="00C34AAB">
        <w:rPr>
          <w:rFonts w:ascii="Times New Roman" w:hAnsi="Times New Roman" w:cs="Times New Roman"/>
          <w:sz w:val="26"/>
          <w:szCs w:val="26"/>
        </w:rPr>
        <w:t xml:space="preserve"> (Serviço de </w:t>
      </w:r>
      <w:r w:rsidRPr="00C34AAB">
        <w:rPr>
          <w:rFonts w:ascii="Times New Roman" w:hAnsi="Times New Roman" w:cs="Times New Roman"/>
          <w:sz w:val="26"/>
          <w:szCs w:val="26"/>
        </w:rPr>
        <w:lastRenderedPageBreak/>
        <w:t>Telefônico Fixo Comutável), não existindo base jurídica para obtenção de “listas públicas” sobre usuários de telefonia móvel (Serviço Móvel Pessoal).</w:t>
      </w:r>
    </w:p>
    <w:p w:rsidR="0004046E" w:rsidRPr="00C34AAB" w:rsidRDefault="0004046E" w:rsidP="0004046E">
      <w:pPr>
        <w:pStyle w:val="PargrafodaLista"/>
        <w:spacing w:before="120" w:line="276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04046E" w:rsidRPr="00C34AAB" w:rsidRDefault="000A2517" w:rsidP="0004046E">
      <w:pPr>
        <w:pStyle w:val="Pargrafoda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sítio Telefone</w:t>
      </w:r>
      <w:r w:rsidR="0004046E" w:rsidRPr="00C34AAB">
        <w:rPr>
          <w:rFonts w:ascii="Times New Roman" w:hAnsi="Times New Roman" w:cs="Times New Roman"/>
          <w:sz w:val="26"/>
          <w:szCs w:val="26"/>
        </w:rPr>
        <w:t xml:space="preserve"> Ninja não faz menção ao Regulamento Geral de Direitos do Consumidor de Serviços de Telecomunicações</w:t>
      </w:r>
      <w:r w:rsidR="0004046E"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6"/>
      </w:r>
      <w:r w:rsidR="0004046E" w:rsidRPr="00C34AAB">
        <w:rPr>
          <w:rFonts w:ascii="Times New Roman" w:hAnsi="Times New Roman" w:cs="Times New Roman"/>
          <w:sz w:val="26"/>
          <w:szCs w:val="26"/>
        </w:rPr>
        <w:t>, que define como direito básico dos usuários de todos os serviços de telecomunicações – incluindo telefonia móvel e telefonia fixa – a “privacidade na utilização de seus dados pessoais pela prestadora”</w:t>
      </w:r>
      <w:r w:rsidR="0004046E"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7"/>
      </w:r>
      <w:r w:rsidR="0004046E" w:rsidRPr="00C34AAB">
        <w:rPr>
          <w:rFonts w:ascii="Times New Roman" w:hAnsi="Times New Roman" w:cs="Times New Roman"/>
          <w:sz w:val="26"/>
          <w:szCs w:val="26"/>
        </w:rPr>
        <w:t xml:space="preserve"> e a “reparação pelos danos causados pela violação dos seus direitos”</w:t>
      </w:r>
      <w:r w:rsidR="0004046E"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8"/>
      </w:r>
      <w:r w:rsidR="0004046E" w:rsidRPr="00C34AAB">
        <w:rPr>
          <w:rFonts w:ascii="Times New Roman" w:hAnsi="Times New Roman" w:cs="Times New Roman"/>
          <w:sz w:val="26"/>
          <w:szCs w:val="26"/>
        </w:rPr>
        <w:t xml:space="preserve">. O sítio afirma que “o telefone ninja é periodicamente atualizado em função dos cadastros das operadoras, por isso seus dados podem eventualmente voltar a ser incluídos em nossa base; caso isso ocorra, uma nova solicitação de exclusão de seus dados do </w:t>
      </w:r>
      <w:proofErr w:type="spellStart"/>
      <w:r w:rsidR="0004046E" w:rsidRPr="00C34AAB">
        <w:rPr>
          <w:rFonts w:ascii="Times New Roman" w:hAnsi="Times New Roman" w:cs="Times New Roman"/>
          <w:sz w:val="26"/>
          <w:szCs w:val="26"/>
        </w:rPr>
        <w:t>telefone.ninja</w:t>
      </w:r>
      <w:proofErr w:type="spellEnd"/>
      <w:r w:rsidR="0004046E" w:rsidRPr="00C34AAB">
        <w:rPr>
          <w:rFonts w:ascii="Times New Roman" w:hAnsi="Times New Roman" w:cs="Times New Roman"/>
          <w:sz w:val="26"/>
          <w:szCs w:val="26"/>
        </w:rPr>
        <w:t xml:space="preserve"> deverá ser encaminhada”</w:t>
      </w:r>
      <w:r w:rsidR="0004046E"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9"/>
      </w:r>
      <w:r w:rsidR="0004046E" w:rsidRPr="00C34AAB">
        <w:rPr>
          <w:rFonts w:ascii="Times New Roman" w:hAnsi="Times New Roman" w:cs="Times New Roman"/>
          <w:sz w:val="26"/>
          <w:szCs w:val="26"/>
        </w:rPr>
        <w:t xml:space="preserve">. Não há informações de </w:t>
      </w:r>
      <w:r w:rsidR="0004046E" w:rsidRPr="00C34AAB">
        <w:rPr>
          <w:rFonts w:ascii="Times New Roman" w:hAnsi="Times New Roman" w:cs="Times New Roman"/>
          <w:i/>
          <w:sz w:val="26"/>
          <w:szCs w:val="26"/>
        </w:rPr>
        <w:t xml:space="preserve">como os dados de telefonia móvel são obtidos </w:t>
      </w:r>
      <w:r w:rsidR="0004046E" w:rsidRPr="00C34AAB">
        <w:rPr>
          <w:rFonts w:ascii="Times New Roman" w:hAnsi="Times New Roman" w:cs="Times New Roman"/>
          <w:sz w:val="26"/>
          <w:szCs w:val="26"/>
        </w:rPr>
        <w:t>e se são frutos de vazamentos de bases de dados em tutela das operadoras, o que caracterizaria violação do art. 3º da Resolução nº 66/98, que afirma que a prestadora é “responsável por garantir o respeito à privacidade do assinante do serviço na utilização de dados pessoais constantes de seu cadastro”.</w:t>
      </w:r>
    </w:p>
    <w:p w:rsidR="0004046E" w:rsidRPr="00C34AAB" w:rsidRDefault="0004046E" w:rsidP="0004046E">
      <w:pPr>
        <w:pStyle w:val="PargrafodaLista"/>
        <w:spacing w:before="120" w:line="276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04046E" w:rsidRPr="00C34AAB" w:rsidRDefault="0004046E" w:rsidP="0004046E">
      <w:pPr>
        <w:pStyle w:val="Pargrafoda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C34AAB">
        <w:rPr>
          <w:rFonts w:ascii="Times New Roman" w:hAnsi="Times New Roman" w:cs="Times New Roman"/>
          <w:sz w:val="26"/>
          <w:szCs w:val="26"/>
        </w:rPr>
        <w:t>O mecanismo de busca do sítio Telefone Ninja pode ser considerado como “aplicação de internet” nos termos do Marco Civil da Internet.</w:t>
      </w:r>
      <w:r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10"/>
      </w:r>
      <w:r w:rsidRPr="00C34AAB">
        <w:rPr>
          <w:rFonts w:ascii="Times New Roman" w:hAnsi="Times New Roman" w:cs="Times New Roman"/>
          <w:sz w:val="26"/>
          <w:szCs w:val="26"/>
        </w:rPr>
        <w:t xml:space="preserve"> Ao usuário de uma aplicação de internet, são assegurados os seguintes direitos básicos: (i) “inviolabilidade da intimidade e da vida privada, sua proteção e indenização pelo dano material ou moral decorrente de sua violação”</w:t>
      </w:r>
      <w:r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11"/>
      </w:r>
      <w:r w:rsidRPr="00C34AAB">
        <w:rPr>
          <w:rFonts w:ascii="Times New Roman" w:hAnsi="Times New Roman" w:cs="Times New Roman"/>
          <w:sz w:val="26"/>
          <w:szCs w:val="26"/>
        </w:rPr>
        <w:t>; (</w:t>
      </w:r>
      <w:proofErr w:type="spellStart"/>
      <w:r w:rsidRPr="00C34AA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C34AAB">
        <w:rPr>
          <w:rFonts w:ascii="Times New Roman" w:hAnsi="Times New Roman" w:cs="Times New Roman"/>
          <w:sz w:val="26"/>
          <w:szCs w:val="26"/>
        </w:rPr>
        <w:t>) “informação clara e completa sobre coleta, uso, armazenamento e proteção dos seus dados pessoais”</w:t>
      </w:r>
      <w:r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12"/>
      </w:r>
      <w:r w:rsidRPr="00C34AAB">
        <w:rPr>
          <w:rFonts w:ascii="Times New Roman" w:hAnsi="Times New Roman" w:cs="Times New Roman"/>
          <w:sz w:val="26"/>
          <w:szCs w:val="26"/>
        </w:rPr>
        <w:t xml:space="preserve"> e (</w:t>
      </w:r>
      <w:proofErr w:type="spellStart"/>
      <w:r w:rsidRPr="00C34AAB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C34AAB">
        <w:rPr>
          <w:rFonts w:ascii="Times New Roman" w:hAnsi="Times New Roman" w:cs="Times New Roman"/>
          <w:sz w:val="26"/>
          <w:szCs w:val="26"/>
        </w:rPr>
        <w:t>) “não fornecimento a terceiros de seus dados pessoais, salvo mediante consentimento livre, expresso e informado”</w:t>
      </w:r>
      <w:r w:rsidRPr="00C34AAB">
        <w:rPr>
          <w:rStyle w:val="Refdenotaderodap"/>
          <w:rFonts w:ascii="Times New Roman" w:hAnsi="Times New Roman" w:cs="Times New Roman"/>
          <w:sz w:val="26"/>
          <w:szCs w:val="26"/>
        </w:rPr>
        <w:footnoteReference w:id="13"/>
      </w:r>
      <w:r w:rsidRPr="00C34AAB">
        <w:rPr>
          <w:rFonts w:ascii="Times New Roman" w:hAnsi="Times New Roman" w:cs="Times New Roman"/>
          <w:sz w:val="26"/>
          <w:szCs w:val="26"/>
        </w:rPr>
        <w:t>.</w:t>
      </w:r>
    </w:p>
    <w:p w:rsidR="0004046E" w:rsidRPr="00C34AAB" w:rsidRDefault="0004046E" w:rsidP="0004046E">
      <w:pPr>
        <w:pStyle w:val="PargrafodaLista"/>
        <w:spacing w:before="120" w:line="276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04046E" w:rsidRPr="00C34AAB" w:rsidRDefault="0004046E" w:rsidP="0004046E">
      <w:pPr>
        <w:pStyle w:val="Pargrafoda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C34AAB">
        <w:rPr>
          <w:rFonts w:ascii="Times New Roman" w:hAnsi="Times New Roman" w:cs="Times New Roman"/>
          <w:sz w:val="26"/>
          <w:szCs w:val="26"/>
        </w:rPr>
        <w:lastRenderedPageBreak/>
        <w:t xml:space="preserve">Apesar de não ter realizado a coleta originária dos dados pessoais, o provedor de aplicação “Telefone Ninja” certamente realiza </w:t>
      </w:r>
      <w:r w:rsidRPr="00C34AAB">
        <w:rPr>
          <w:rFonts w:ascii="Times New Roman" w:hAnsi="Times New Roman" w:cs="Times New Roman"/>
          <w:i/>
          <w:sz w:val="26"/>
          <w:szCs w:val="26"/>
        </w:rPr>
        <w:t xml:space="preserve">guarda e disponibilização de dados pessoais </w:t>
      </w:r>
      <w:r w:rsidRPr="00C34AAB">
        <w:rPr>
          <w:rFonts w:ascii="Times New Roman" w:hAnsi="Times New Roman" w:cs="Times New Roman"/>
          <w:sz w:val="26"/>
          <w:szCs w:val="26"/>
        </w:rPr>
        <w:t>nos termos do art. 10 do Marco Civil da Internet. Do mesmo modo, ao realizar guarda e tratamento de dados pessoais, deve respeitar os “direitos à privacidade” e à “proteção de dados pessoais” nos termos do art. 11 da referida lei.</w:t>
      </w:r>
    </w:p>
    <w:p w:rsidR="0004046E" w:rsidRPr="00C34AAB" w:rsidRDefault="0004046E" w:rsidP="0004046E">
      <w:pPr>
        <w:pStyle w:val="PargrafodaLista"/>
        <w:spacing w:before="120" w:line="276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04046E" w:rsidRPr="00C34AAB" w:rsidRDefault="0004046E" w:rsidP="0004046E">
      <w:pPr>
        <w:pStyle w:val="Pargrafoda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C34AAB">
        <w:rPr>
          <w:rFonts w:ascii="Times New Roman" w:hAnsi="Times New Roman" w:cs="Times New Roman"/>
          <w:sz w:val="26"/>
          <w:szCs w:val="26"/>
        </w:rPr>
        <w:t xml:space="preserve">O sítio “Telefone Ninja” não possui “Política de Privacidade” e tampouco informações claras sobre os processos de guarda e tratamento de dados pessoais. Não há garantias para o consumidor de que os dados não são comercializados para terceiros sem seu consentimento. Deste modo, </w:t>
      </w:r>
      <w:r w:rsidRPr="00C34AAB">
        <w:rPr>
          <w:rFonts w:ascii="Times New Roman" w:hAnsi="Times New Roman" w:cs="Times New Roman"/>
          <w:sz w:val="26"/>
          <w:szCs w:val="26"/>
          <w:u w:val="single"/>
        </w:rPr>
        <w:t>opera em flagrante violação ao art. 7º, IV, do Marco Civil da Internet</w:t>
      </w:r>
      <w:r w:rsidRPr="00C34AAB">
        <w:rPr>
          <w:rFonts w:ascii="Times New Roman" w:hAnsi="Times New Roman" w:cs="Times New Roman"/>
          <w:sz w:val="26"/>
          <w:szCs w:val="26"/>
        </w:rPr>
        <w:t>. Neste caso, são cabíveis as sanções previstas no art. 12 da referida legislação, por autoridade</w:t>
      </w:r>
      <w:bookmarkStart w:id="0" w:name="_GoBack"/>
      <w:bookmarkEnd w:id="0"/>
      <w:r w:rsidRPr="00C34AAB">
        <w:rPr>
          <w:rFonts w:ascii="Times New Roman" w:hAnsi="Times New Roman" w:cs="Times New Roman"/>
          <w:sz w:val="26"/>
          <w:szCs w:val="26"/>
        </w:rPr>
        <w:t xml:space="preserve"> judiciária ou pela Secretaria Nacional do Consumidor, de modo gradativo, na seguinte sequência: (i) </w:t>
      </w:r>
      <w:r w:rsidRPr="00C34AAB">
        <w:rPr>
          <w:rFonts w:ascii="Times New Roman" w:hAnsi="Times New Roman" w:cs="Times New Roman"/>
          <w:sz w:val="26"/>
          <w:szCs w:val="26"/>
          <w:u w:val="single"/>
        </w:rPr>
        <w:t>advertência</w:t>
      </w:r>
      <w:r w:rsidRPr="00C34AAB">
        <w:rPr>
          <w:rFonts w:ascii="Times New Roman" w:hAnsi="Times New Roman" w:cs="Times New Roman"/>
          <w:sz w:val="26"/>
          <w:szCs w:val="26"/>
        </w:rPr>
        <w:t>, com indicação de prazo para adoção de medidas corretivas; (</w:t>
      </w:r>
      <w:proofErr w:type="spellStart"/>
      <w:r w:rsidRPr="00C34AA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C34AAB">
        <w:rPr>
          <w:rFonts w:ascii="Times New Roman" w:hAnsi="Times New Roman" w:cs="Times New Roman"/>
          <w:sz w:val="26"/>
          <w:szCs w:val="26"/>
        </w:rPr>
        <w:t xml:space="preserve">) </w:t>
      </w:r>
      <w:r w:rsidRPr="00C34AAB">
        <w:rPr>
          <w:rFonts w:ascii="Times New Roman" w:hAnsi="Times New Roman" w:cs="Times New Roman"/>
          <w:sz w:val="26"/>
          <w:szCs w:val="26"/>
          <w:u w:val="single"/>
        </w:rPr>
        <w:t>multa de até 10% (dez por cento) do faturamento</w:t>
      </w:r>
      <w:r w:rsidRPr="00C34AAB">
        <w:rPr>
          <w:rFonts w:ascii="Times New Roman" w:hAnsi="Times New Roman" w:cs="Times New Roman"/>
          <w:sz w:val="26"/>
          <w:szCs w:val="26"/>
        </w:rPr>
        <w:t xml:space="preserve"> do grupo econômico no Brasil do seu último exercício, (</w:t>
      </w:r>
      <w:proofErr w:type="spellStart"/>
      <w:r w:rsidRPr="00C34AAB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C34AAB">
        <w:rPr>
          <w:rFonts w:ascii="Times New Roman" w:hAnsi="Times New Roman" w:cs="Times New Roman"/>
          <w:sz w:val="26"/>
          <w:szCs w:val="26"/>
        </w:rPr>
        <w:t xml:space="preserve">) </w:t>
      </w:r>
      <w:r w:rsidRPr="00C34AAB">
        <w:rPr>
          <w:rFonts w:ascii="Times New Roman" w:hAnsi="Times New Roman" w:cs="Times New Roman"/>
          <w:sz w:val="26"/>
          <w:szCs w:val="26"/>
          <w:u w:val="single"/>
        </w:rPr>
        <w:t>suspensão temporária</w:t>
      </w:r>
      <w:r w:rsidRPr="00C34AAB">
        <w:rPr>
          <w:rFonts w:ascii="Times New Roman" w:hAnsi="Times New Roman" w:cs="Times New Roman"/>
          <w:sz w:val="26"/>
          <w:szCs w:val="26"/>
        </w:rPr>
        <w:t xml:space="preserve"> das atividades de guarda e tratamento de dados pessoais, (</w:t>
      </w:r>
      <w:proofErr w:type="spellStart"/>
      <w:r w:rsidRPr="00C34AAB">
        <w:rPr>
          <w:rFonts w:ascii="Times New Roman" w:hAnsi="Times New Roman" w:cs="Times New Roman"/>
          <w:sz w:val="26"/>
          <w:szCs w:val="26"/>
        </w:rPr>
        <w:t>iv</w:t>
      </w:r>
      <w:proofErr w:type="spellEnd"/>
      <w:r w:rsidRPr="00C34AAB">
        <w:rPr>
          <w:rFonts w:ascii="Times New Roman" w:hAnsi="Times New Roman" w:cs="Times New Roman"/>
          <w:sz w:val="26"/>
          <w:szCs w:val="26"/>
        </w:rPr>
        <w:t xml:space="preserve">) </w:t>
      </w:r>
      <w:r w:rsidRPr="00C34AAB">
        <w:rPr>
          <w:rFonts w:ascii="Times New Roman" w:hAnsi="Times New Roman" w:cs="Times New Roman"/>
          <w:sz w:val="26"/>
          <w:szCs w:val="26"/>
          <w:u w:val="single"/>
        </w:rPr>
        <w:t>proibição de exercício</w:t>
      </w:r>
      <w:r w:rsidRPr="00C34AAB">
        <w:rPr>
          <w:rFonts w:ascii="Times New Roman" w:hAnsi="Times New Roman" w:cs="Times New Roman"/>
          <w:sz w:val="26"/>
          <w:szCs w:val="26"/>
        </w:rPr>
        <w:t xml:space="preserve"> das atividades de guarda e tratamento de dados pessoais.</w:t>
      </w:r>
    </w:p>
    <w:p w:rsidR="0004046E" w:rsidRPr="00C34AAB" w:rsidRDefault="0004046E" w:rsidP="0004046E">
      <w:pPr>
        <w:spacing w:before="120" w:line="276" w:lineRule="auto"/>
        <w:ind w:left="357"/>
        <w:jc w:val="both"/>
        <w:rPr>
          <w:sz w:val="26"/>
          <w:szCs w:val="26"/>
        </w:rPr>
      </w:pPr>
    </w:p>
    <w:p w:rsidR="0004046E" w:rsidRPr="00C34AAB" w:rsidRDefault="0004046E" w:rsidP="00C34AAB">
      <w:pPr>
        <w:spacing w:before="120"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 xml:space="preserve">Diante dos esclarecimentos jurídicos sobre o caso prestados pelo Instituto Brasileiro de Defesa do Consumidor, faz-se necessário </w:t>
      </w:r>
      <w:r w:rsidRPr="00C34AAB">
        <w:rPr>
          <w:sz w:val="26"/>
          <w:szCs w:val="26"/>
          <w:u w:val="single"/>
        </w:rPr>
        <w:t>a correta identificação dos criadores e gestores do sítio Telefone Ninja</w:t>
      </w:r>
      <w:r w:rsidRPr="00C34AAB">
        <w:rPr>
          <w:sz w:val="26"/>
          <w:szCs w:val="26"/>
        </w:rPr>
        <w:t xml:space="preserve">, para a aplicação da advertência e das demais sanções previstas no art. 12 do Marco Civil da Internet. As informações reportadas até o momento são incertas. De acordo com o </w:t>
      </w:r>
      <w:proofErr w:type="spellStart"/>
      <w:r w:rsidRPr="00C34AAB">
        <w:rPr>
          <w:i/>
          <w:sz w:val="26"/>
          <w:szCs w:val="26"/>
        </w:rPr>
        <w:t>Whois</w:t>
      </w:r>
      <w:proofErr w:type="spellEnd"/>
      <w:r w:rsidRPr="00C34AAB">
        <w:rPr>
          <w:sz w:val="26"/>
          <w:szCs w:val="26"/>
        </w:rPr>
        <w:t xml:space="preserve"> do domínio </w:t>
      </w:r>
      <w:proofErr w:type="spellStart"/>
      <w:r w:rsidRPr="00C34AAB">
        <w:rPr>
          <w:sz w:val="26"/>
          <w:szCs w:val="26"/>
        </w:rPr>
        <w:t>telefone.ninja</w:t>
      </w:r>
      <w:proofErr w:type="spellEnd"/>
      <w:r w:rsidRPr="00C34AAB">
        <w:rPr>
          <w:sz w:val="26"/>
          <w:szCs w:val="26"/>
        </w:rPr>
        <w:t>, há informação de que a administração é feita por Ricardo Torres, que registrou o domínio pelo grupo “</w:t>
      </w:r>
      <w:proofErr w:type="spellStart"/>
      <w:r w:rsidRPr="00C34AAB">
        <w:rPr>
          <w:sz w:val="26"/>
          <w:szCs w:val="26"/>
        </w:rPr>
        <w:t>Bytecode</w:t>
      </w:r>
      <w:proofErr w:type="spellEnd"/>
      <w:r w:rsidRPr="00C34AAB">
        <w:rPr>
          <w:sz w:val="26"/>
          <w:szCs w:val="26"/>
        </w:rPr>
        <w:t xml:space="preserve"> Tech Inc.”, registrado em Barueri (SP).</w:t>
      </w:r>
      <w:r w:rsidRPr="00C34AAB">
        <w:rPr>
          <w:rStyle w:val="Refdenotaderodap"/>
          <w:sz w:val="26"/>
          <w:szCs w:val="26"/>
        </w:rPr>
        <w:footnoteReference w:id="14"/>
      </w:r>
      <w:r w:rsidRPr="00C34AAB">
        <w:rPr>
          <w:sz w:val="26"/>
          <w:szCs w:val="26"/>
        </w:rPr>
        <w:t xml:space="preserve"> </w:t>
      </w:r>
    </w:p>
    <w:p w:rsidR="0004046E" w:rsidRPr="00C34AAB" w:rsidRDefault="0004046E" w:rsidP="00C34AAB">
      <w:pPr>
        <w:spacing w:before="120"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 xml:space="preserve">Partindo da informação do e-mail de contato disponibilizado pelo Telefone Ninja, sabe-se que o domínio </w:t>
      </w:r>
      <w:r w:rsidRPr="00C34AAB">
        <w:rPr>
          <w:i/>
          <w:sz w:val="26"/>
          <w:szCs w:val="26"/>
        </w:rPr>
        <w:t>post.com.br</w:t>
      </w:r>
      <w:r w:rsidRPr="00C34AAB">
        <w:rPr>
          <w:sz w:val="26"/>
          <w:szCs w:val="26"/>
        </w:rPr>
        <w:t xml:space="preserve"> está registrado em nome de “Empório São José”</w:t>
      </w:r>
      <w:r w:rsidRPr="00C34AAB">
        <w:rPr>
          <w:rStyle w:val="Refdenotaderodap"/>
          <w:sz w:val="26"/>
          <w:szCs w:val="26"/>
        </w:rPr>
        <w:footnoteReference w:id="15"/>
      </w:r>
      <w:r w:rsidRPr="00C34AAB">
        <w:rPr>
          <w:sz w:val="26"/>
          <w:szCs w:val="26"/>
        </w:rPr>
        <w:t xml:space="preserve">, feito por Alexandre C. Correia no servidor </w:t>
      </w:r>
      <w:proofErr w:type="spellStart"/>
      <w:r w:rsidRPr="00C34AAB">
        <w:rPr>
          <w:sz w:val="26"/>
          <w:szCs w:val="26"/>
        </w:rPr>
        <w:t>Locaweb</w:t>
      </w:r>
      <w:proofErr w:type="spellEnd"/>
      <w:r w:rsidRPr="00C34AAB">
        <w:rPr>
          <w:sz w:val="26"/>
          <w:szCs w:val="26"/>
        </w:rPr>
        <w:t>.</w:t>
      </w:r>
      <w:r w:rsidRPr="00C34AAB">
        <w:rPr>
          <w:rStyle w:val="Refdenotaderodap"/>
          <w:sz w:val="26"/>
          <w:szCs w:val="26"/>
        </w:rPr>
        <w:footnoteReference w:id="16"/>
      </w:r>
      <w:r w:rsidRPr="00C34AAB">
        <w:rPr>
          <w:sz w:val="26"/>
          <w:szCs w:val="26"/>
        </w:rPr>
        <w:t xml:space="preserve"> Há possibilidade de notificação </w:t>
      </w:r>
      <w:r w:rsidRPr="00C34AAB">
        <w:rPr>
          <w:sz w:val="26"/>
          <w:szCs w:val="26"/>
        </w:rPr>
        <w:lastRenderedPageBreak/>
        <w:t xml:space="preserve">da </w:t>
      </w:r>
      <w:proofErr w:type="spellStart"/>
      <w:r w:rsidRPr="00C34AAB">
        <w:rPr>
          <w:sz w:val="26"/>
          <w:szCs w:val="26"/>
        </w:rPr>
        <w:t>Locaweb</w:t>
      </w:r>
      <w:proofErr w:type="spellEnd"/>
      <w:r w:rsidRPr="00C34AAB">
        <w:rPr>
          <w:sz w:val="26"/>
          <w:szCs w:val="26"/>
        </w:rPr>
        <w:t>, pelas autoridades judiciárias e administrativas, para obtenção de maiores informações sobre quem realiza a gestão do e-mail de contato, provendo maiores esclarecimentos sobre os gestores do Telefone Ninja.</w:t>
      </w:r>
    </w:p>
    <w:p w:rsidR="0004046E" w:rsidRPr="00C34AAB" w:rsidRDefault="0004046E" w:rsidP="00C34AAB">
      <w:pPr>
        <w:spacing w:before="120"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 xml:space="preserve">O Instituto Brasileiro de Defesa do Consumidor </w:t>
      </w:r>
      <w:r w:rsidRPr="00C34AAB">
        <w:rPr>
          <w:sz w:val="26"/>
          <w:szCs w:val="26"/>
          <w:u w:val="single"/>
        </w:rPr>
        <w:t xml:space="preserve">não encontrou indícios de vírus ou técnicas de </w:t>
      </w:r>
      <w:proofErr w:type="spellStart"/>
      <w:r w:rsidRPr="00C34AAB">
        <w:rPr>
          <w:i/>
          <w:sz w:val="26"/>
          <w:szCs w:val="26"/>
          <w:u w:val="single"/>
        </w:rPr>
        <w:t>phishing</w:t>
      </w:r>
      <w:proofErr w:type="spellEnd"/>
      <w:r w:rsidRPr="00C34AAB">
        <w:rPr>
          <w:i/>
          <w:sz w:val="26"/>
          <w:szCs w:val="26"/>
          <w:u w:val="single"/>
        </w:rPr>
        <w:t xml:space="preserve"> </w:t>
      </w:r>
      <w:r w:rsidRPr="00C34AAB">
        <w:rPr>
          <w:sz w:val="26"/>
          <w:szCs w:val="26"/>
          <w:u w:val="single"/>
        </w:rPr>
        <w:t>no sítio Telefone Ninja</w:t>
      </w:r>
      <w:r w:rsidRPr="00C34AAB">
        <w:rPr>
          <w:sz w:val="26"/>
          <w:szCs w:val="26"/>
        </w:rPr>
        <w:t xml:space="preserve">, corroborando a análise feita pelo analista Fábio </w:t>
      </w:r>
      <w:proofErr w:type="spellStart"/>
      <w:r w:rsidRPr="00C34AAB">
        <w:rPr>
          <w:sz w:val="26"/>
          <w:szCs w:val="26"/>
        </w:rPr>
        <w:t>Assolini</w:t>
      </w:r>
      <w:proofErr w:type="spellEnd"/>
      <w:r w:rsidRPr="00C34AAB">
        <w:rPr>
          <w:sz w:val="26"/>
          <w:szCs w:val="26"/>
        </w:rPr>
        <w:t xml:space="preserve">, da </w:t>
      </w:r>
      <w:proofErr w:type="spellStart"/>
      <w:r w:rsidRPr="00C34AAB">
        <w:rPr>
          <w:sz w:val="26"/>
          <w:szCs w:val="26"/>
        </w:rPr>
        <w:t>Kaspersky</w:t>
      </w:r>
      <w:proofErr w:type="spellEnd"/>
      <w:r w:rsidRPr="00C34AAB">
        <w:rPr>
          <w:sz w:val="26"/>
          <w:szCs w:val="26"/>
        </w:rPr>
        <w:t xml:space="preserve"> Lab.</w:t>
      </w:r>
      <w:r w:rsidRPr="00C34AAB">
        <w:rPr>
          <w:rStyle w:val="Refdenotaderodap"/>
          <w:sz w:val="26"/>
          <w:szCs w:val="26"/>
        </w:rPr>
        <w:footnoteReference w:id="17"/>
      </w:r>
      <w:r w:rsidRPr="00C34AAB">
        <w:rPr>
          <w:sz w:val="26"/>
          <w:szCs w:val="26"/>
        </w:rPr>
        <w:t xml:space="preserve"> No entanto,</w:t>
      </w:r>
      <w:r w:rsidR="00C34AAB">
        <w:rPr>
          <w:sz w:val="26"/>
          <w:szCs w:val="26"/>
        </w:rPr>
        <w:t xml:space="preserve"> como argumentado,</w:t>
      </w:r>
      <w:r w:rsidRPr="00C34AAB">
        <w:rPr>
          <w:sz w:val="26"/>
          <w:szCs w:val="26"/>
        </w:rPr>
        <w:t xml:space="preserve"> há graves violações às regras de proteção de dados pessoais e à privacidade dos usuários dos serviços de telecomunicações.</w:t>
      </w:r>
    </w:p>
    <w:p w:rsidR="0004046E" w:rsidRPr="00C34AAB" w:rsidRDefault="0004046E" w:rsidP="00C34AAB">
      <w:pPr>
        <w:spacing w:before="120" w:after="240" w:line="276" w:lineRule="auto"/>
        <w:ind w:firstLine="708"/>
        <w:jc w:val="both"/>
        <w:rPr>
          <w:sz w:val="26"/>
          <w:szCs w:val="26"/>
        </w:rPr>
      </w:pPr>
      <w:r w:rsidRPr="00C34AAB">
        <w:rPr>
          <w:sz w:val="26"/>
          <w:szCs w:val="26"/>
        </w:rPr>
        <w:t>Há necessidade de medidas administrativas e judiciais para a devida garantia da proteção dos dados pessoais dos consumidores brasileiros, nos termos do Marco Civil da Internet e das resoluções da Agência Nacional de Telecomunicações, e investigação sobre a origem dos dados pessoais utilizados pelo Telefone Ninja – se são oriundos de vazamentos de bancos de dados, de intercepção ilícita ou de repasse voluntário por parte das operadores de serviços de telecomunicações.</w:t>
      </w:r>
    </w:p>
    <w:p w:rsidR="00CD1068" w:rsidRDefault="00CD1068" w:rsidP="0004046E">
      <w:pPr>
        <w:rPr>
          <w:sz w:val="26"/>
          <w:szCs w:val="26"/>
        </w:rPr>
      </w:pPr>
    </w:p>
    <w:p w:rsidR="00C34AAB" w:rsidRDefault="00C34AAB" w:rsidP="0004046E">
      <w:pPr>
        <w:rPr>
          <w:sz w:val="26"/>
          <w:szCs w:val="26"/>
        </w:rPr>
      </w:pPr>
    </w:p>
    <w:p w:rsidR="00C34AAB" w:rsidRDefault="00C34AAB" w:rsidP="0004046E">
      <w:pPr>
        <w:rPr>
          <w:sz w:val="26"/>
          <w:szCs w:val="26"/>
        </w:rPr>
      </w:pPr>
    </w:p>
    <w:p w:rsidR="00C34AAB" w:rsidRPr="00C34AAB" w:rsidRDefault="00C34AAB" w:rsidP="00C34AAB">
      <w:pPr>
        <w:jc w:val="center"/>
        <w:rPr>
          <w:sz w:val="26"/>
          <w:szCs w:val="26"/>
        </w:rPr>
      </w:pPr>
      <w:r w:rsidRPr="00C34AAB">
        <w:rPr>
          <w:noProof/>
          <w:sz w:val="26"/>
          <w:szCs w:val="26"/>
        </w:rPr>
        <w:drawing>
          <wp:inline distT="0" distB="0" distL="0" distR="0" wp14:anchorId="0EBF6006" wp14:editId="5ED37010">
            <wp:extent cx="2317898" cy="792788"/>
            <wp:effectExtent l="0" t="0" r="635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_zanat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718" cy="8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AB" w:rsidRPr="00C34AAB" w:rsidRDefault="00C34AAB" w:rsidP="00C34AAB">
      <w:pPr>
        <w:jc w:val="center"/>
        <w:rPr>
          <w:b/>
          <w:sz w:val="26"/>
          <w:szCs w:val="26"/>
        </w:rPr>
      </w:pPr>
      <w:r w:rsidRPr="00C34AAB">
        <w:rPr>
          <w:b/>
          <w:sz w:val="26"/>
          <w:szCs w:val="26"/>
        </w:rPr>
        <w:t>Rafael A. F. Zanatta</w:t>
      </w:r>
    </w:p>
    <w:p w:rsidR="00C34AAB" w:rsidRPr="00C34AAB" w:rsidRDefault="00C34AAB" w:rsidP="00C34AAB">
      <w:pPr>
        <w:jc w:val="center"/>
        <w:rPr>
          <w:sz w:val="26"/>
          <w:szCs w:val="26"/>
        </w:rPr>
      </w:pPr>
      <w:r w:rsidRPr="00C34AAB">
        <w:rPr>
          <w:sz w:val="26"/>
          <w:szCs w:val="26"/>
        </w:rPr>
        <w:t>Pesquisador em Telecomunicações – Idec</w:t>
      </w:r>
    </w:p>
    <w:p w:rsidR="00C34AAB" w:rsidRPr="00C34AAB" w:rsidRDefault="00C34AAB" w:rsidP="00C34AAB">
      <w:pPr>
        <w:jc w:val="center"/>
        <w:rPr>
          <w:sz w:val="26"/>
          <w:szCs w:val="26"/>
        </w:rPr>
      </w:pPr>
    </w:p>
    <w:sectPr w:rsidR="00C34AAB" w:rsidRPr="00C34AAB">
      <w:headerReference w:type="default" r:id="rId10"/>
      <w:footerReference w:type="default" r:id="rId11"/>
      <w:pgSz w:w="11906" w:h="16838"/>
      <w:pgMar w:top="1693" w:right="1134" w:bottom="1693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01" w:rsidRDefault="00C55001">
      <w:r>
        <w:separator/>
      </w:r>
    </w:p>
  </w:endnote>
  <w:endnote w:type="continuationSeparator" w:id="0">
    <w:p w:rsidR="00C55001" w:rsidRDefault="00C5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6E" w:rsidRDefault="0004046E" w:rsidP="0004046E">
    <w:pPr>
      <w:pStyle w:val="Rodap"/>
    </w:pPr>
  </w:p>
  <w:p w:rsidR="00D0790F" w:rsidRDefault="005C074A" w:rsidP="0004046E">
    <w:pPr>
      <w:pStyle w:val="Rodap"/>
    </w:pPr>
    <w:r>
      <w:rPr>
        <w:noProof/>
      </w:rPr>
      <w:drawing>
        <wp:inline distT="0" distB="0" distL="0" distR="0" wp14:anchorId="422DD565" wp14:editId="736062D9">
          <wp:extent cx="5781675" cy="514319"/>
          <wp:effectExtent l="0" t="0" r="0" b="63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8" cy="5195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01" w:rsidRDefault="00C55001">
      <w:r>
        <w:separator/>
      </w:r>
    </w:p>
  </w:footnote>
  <w:footnote w:type="continuationSeparator" w:id="0">
    <w:p w:rsidR="00C55001" w:rsidRDefault="00C55001">
      <w:r>
        <w:continuationSeparator/>
      </w:r>
    </w:p>
  </w:footnote>
  <w:footnote w:id="1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</w:t>
      </w:r>
      <w:hyperlink r:id="rId1" w:history="1">
        <w:r w:rsidRPr="004F625A">
          <w:rPr>
            <w:rStyle w:val="Hyperlink"/>
          </w:rPr>
          <w:t>http://www.telefone.ninja/</w:t>
        </w:r>
      </w:hyperlink>
      <w:r w:rsidRPr="004F625A">
        <w:t xml:space="preserve"> </w:t>
      </w:r>
    </w:p>
  </w:footnote>
  <w:footnote w:id="2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O endereço informado é </w:t>
      </w:r>
      <w:hyperlink r:id="rId2" w:history="1">
        <w:r w:rsidRPr="004F625A">
          <w:rPr>
            <w:rStyle w:val="Hyperlink"/>
          </w:rPr>
          <w:t>businesstop@post.com</w:t>
        </w:r>
      </w:hyperlink>
      <w:r w:rsidRPr="004F625A">
        <w:t xml:space="preserve">. </w:t>
      </w:r>
    </w:p>
  </w:footnote>
  <w:footnote w:id="3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Decreto 7.962/13, art. 2º, inciso I.</w:t>
      </w:r>
    </w:p>
  </w:footnote>
  <w:footnote w:id="4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Decreto 7.962/13, art. 2º, inciso II.</w:t>
      </w:r>
    </w:p>
  </w:footnote>
  <w:footnote w:id="5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</w:t>
      </w:r>
      <w:hyperlink r:id="rId3" w:history="1">
        <w:r w:rsidRPr="004F625A">
          <w:rPr>
            <w:rStyle w:val="Hyperlink"/>
          </w:rPr>
          <w:t>http://www.telefone.ninja/static/sobre.html</w:t>
        </w:r>
      </w:hyperlink>
      <w:r w:rsidRPr="004F625A">
        <w:t xml:space="preserve"> </w:t>
      </w:r>
    </w:p>
  </w:footnote>
  <w:footnote w:id="6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Resolução nº 632/2014 da Anatel. Disponível em: </w:t>
      </w:r>
      <w:hyperlink r:id="rId4" w:anchor="anexoII" w:history="1">
        <w:r w:rsidRPr="004F625A">
          <w:rPr>
            <w:rStyle w:val="Hyperlink"/>
          </w:rPr>
          <w:t>http://www.anatel.gov.br/legislacao/resolucoes/2014/750-resolucao-632#anexoII</w:t>
        </w:r>
      </w:hyperlink>
      <w:r w:rsidRPr="004F625A">
        <w:t xml:space="preserve"> </w:t>
      </w:r>
    </w:p>
  </w:footnote>
  <w:footnote w:id="7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Resolução nº 632/2014 da Anatel, art. 3º, inciso VII.</w:t>
      </w:r>
    </w:p>
  </w:footnote>
  <w:footnote w:id="8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Resolução nº 632/2014 da Anatel, art. 3º, inciso XI.</w:t>
      </w:r>
    </w:p>
  </w:footnote>
  <w:footnote w:id="9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</w:t>
      </w:r>
      <w:hyperlink r:id="rId5" w:history="1">
        <w:r w:rsidRPr="004F625A">
          <w:rPr>
            <w:rStyle w:val="Hyperlink"/>
          </w:rPr>
          <w:t>http://www.telefone.ninja/static/sobre.html</w:t>
        </w:r>
      </w:hyperlink>
      <w:r w:rsidRPr="004F625A">
        <w:t xml:space="preserve"> </w:t>
      </w:r>
    </w:p>
  </w:footnote>
  <w:footnote w:id="10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Lei 12.965/14, art. 5º, inciso II.</w:t>
      </w:r>
    </w:p>
  </w:footnote>
  <w:footnote w:id="11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Lei 12.965/14, art. 7º, inciso I.</w:t>
      </w:r>
    </w:p>
  </w:footnote>
  <w:footnote w:id="12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Lei 12.965/14, art. 7º, inciso IV.</w:t>
      </w:r>
    </w:p>
  </w:footnote>
  <w:footnote w:id="13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Lei 12.965/14, art. 7º, inciso VII.</w:t>
      </w:r>
    </w:p>
  </w:footnote>
  <w:footnote w:id="14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Informação de 07 de junho de 2017. Disponível em: </w:t>
      </w:r>
      <w:hyperlink r:id="rId6" w:history="1">
        <w:r w:rsidRPr="004F625A">
          <w:rPr>
            <w:rStyle w:val="Hyperlink"/>
          </w:rPr>
          <w:t>https://who.is/whois/telefone.ninja</w:t>
        </w:r>
      </w:hyperlink>
      <w:r w:rsidRPr="004F625A">
        <w:t xml:space="preserve"> </w:t>
      </w:r>
    </w:p>
  </w:footnote>
  <w:footnote w:id="15">
    <w:p w:rsidR="0004046E" w:rsidRPr="0004046E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04046E">
        <w:t xml:space="preserve"> </w:t>
      </w:r>
      <w:proofErr w:type="spellStart"/>
      <w:r w:rsidRPr="0004046E">
        <w:t>Owner</w:t>
      </w:r>
      <w:proofErr w:type="spellEnd"/>
      <w:r w:rsidRPr="0004046E">
        <w:t xml:space="preserve"> ID: 61.300.273/0001-46.</w:t>
      </w:r>
    </w:p>
  </w:footnote>
  <w:footnote w:id="16">
    <w:p w:rsidR="0004046E" w:rsidRPr="004F625A" w:rsidRDefault="0004046E" w:rsidP="0004046E">
      <w:pPr>
        <w:pStyle w:val="Textodenotaderodap"/>
        <w:jc w:val="both"/>
      </w:pPr>
      <w:r w:rsidRPr="004F625A">
        <w:rPr>
          <w:rStyle w:val="Refdenotaderodap"/>
        </w:rPr>
        <w:footnoteRef/>
      </w:r>
      <w:r w:rsidRPr="004F625A">
        <w:t xml:space="preserve"> </w:t>
      </w:r>
      <w:proofErr w:type="spellStart"/>
      <w:r w:rsidRPr="004F625A">
        <w:rPr>
          <w:rStyle w:val="address"/>
        </w:rPr>
        <w:t>Locaweb</w:t>
      </w:r>
      <w:proofErr w:type="spellEnd"/>
      <w:r w:rsidRPr="004F625A">
        <w:rPr>
          <w:rStyle w:val="address"/>
        </w:rPr>
        <w:t xml:space="preserve"> Serviços de Internet S/A – CNPJ/MF 02.351.877/0001-52 – Rua </w:t>
      </w:r>
      <w:proofErr w:type="spellStart"/>
      <w:r w:rsidRPr="004F625A">
        <w:rPr>
          <w:rStyle w:val="address"/>
        </w:rPr>
        <w:t>Itapaiuna</w:t>
      </w:r>
      <w:proofErr w:type="spellEnd"/>
      <w:r w:rsidRPr="004F625A">
        <w:rPr>
          <w:rStyle w:val="address"/>
        </w:rPr>
        <w:t xml:space="preserve">, 2434 São Paulo- SP CEP: 05707-001. Sítio: </w:t>
      </w:r>
      <w:hyperlink r:id="rId7" w:history="1">
        <w:r w:rsidRPr="004F625A">
          <w:rPr>
            <w:rStyle w:val="Hyperlink"/>
          </w:rPr>
          <w:t>https://www.locaweb.com.br/default.html</w:t>
        </w:r>
      </w:hyperlink>
      <w:r w:rsidRPr="004F625A">
        <w:rPr>
          <w:rStyle w:val="address"/>
        </w:rPr>
        <w:t xml:space="preserve"> </w:t>
      </w:r>
    </w:p>
  </w:footnote>
  <w:footnote w:id="17">
    <w:p w:rsidR="0004046E" w:rsidRPr="004F625A" w:rsidRDefault="0004046E" w:rsidP="0004046E">
      <w:pPr>
        <w:pStyle w:val="Textodenotaderodap"/>
      </w:pPr>
      <w:r w:rsidRPr="004F625A">
        <w:rPr>
          <w:rStyle w:val="Refdenotaderodap"/>
        </w:rPr>
        <w:footnoteRef/>
      </w:r>
      <w:r w:rsidRPr="004F625A">
        <w:t xml:space="preserve"> Ver: </w:t>
      </w:r>
      <w:hyperlink r:id="rId8" w:history="1">
        <w:r w:rsidRPr="004F625A">
          <w:rPr>
            <w:rStyle w:val="Hyperlink"/>
          </w:rPr>
          <w:t>http://tecnologia.ig.com.br/2017-06-07/telefone-ninja-virus.html</w:t>
        </w:r>
      </w:hyperlink>
      <w:r w:rsidRPr="004F625A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0F" w:rsidRDefault="005C074A">
    <w:pPr>
      <w:pStyle w:val="Cabealho"/>
      <w:jc w:val="center"/>
    </w:pPr>
    <w:r>
      <w:rPr>
        <w:noProof/>
      </w:rPr>
      <w:drawing>
        <wp:inline distT="0" distB="0" distL="0" distR="0" wp14:anchorId="03B2091F" wp14:editId="6014950B">
          <wp:extent cx="11620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70352"/>
    <w:multiLevelType w:val="hybridMultilevel"/>
    <w:tmpl w:val="2BAE3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1"/>
    <w:rsid w:val="00011BC6"/>
    <w:rsid w:val="00027BB0"/>
    <w:rsid w:val="0004046E"/>
    <w:rsid w:val="00064CF0"/>
    <w:rsid w:val="000706D6"/>
    <w:rsid w:val="00087A9E"/>
    <w:rsid w:val="000A2517"/>
    <w:rsid w:val="000B0499"/>
    <w:rsid w:val="001127C8"/>
    <w:rsid w:val="00121368"/>
    <w:rsid w:val="001944F7"/>
    <w:rsid w:val="001C53C8"/>
    <w:rsid w:val="001D607D"/>
    <w:rsid w:val="001E05A6"/>
    <w:rsid w:val="001F6DF9"/>
    <w:rsid w:val="002407EB"/>
    <w:rsid w:val="002B0BE3"/>
    <w:rsid w:val="002D281E"/>
    <w:rsid w:val="002E3319"/>
    <w:rsid w:val="00376936"/>
    <w:rsid w:val="003C1EC5"/>
    <w:rsid w:val="003D1199"/>
    <w:rsid w:val="003F16EE"/>
    <w:rsid w:val="00410166"/>
    <w:rsid w:val="0049595E"/>
    <w:rsid w:val="004A2E1F"/>
    <w:rsid w:val="004A373B"/>
    <w:rsid w:val="004C0D5D"/>
    <w:rsid w:val="0053001F"/>
    <w:rsid w:val="00565FBA"/>
    <w:rsid w:val="00573FC5"/>
    <w:rsid w:val="005A344A"/>
    <w:rsid w:val="005C074A"/>
    <w:rsid w:val="00600C51"/>
    <w:rsid w:val="00665936"/>
    <w:rsid w:val="006B77A3"/>
    <w:rsid w:val="007164E8"/>
    <w:rsid w:val="00753110"/>
    <w:rsid w:val="007A4CA9"/>
    <w:rsid w:val="007F6184"/>
    <w:rsid w:val="008032C6"/>
    <w:rsid w:val="008049D5"/>
    <w:rsid w:val="00812EBE"/>
    <w:rsid w:val="00851A45"/>
    <w:rsid w:val="008C71C7"/>
    <w:rsid w:val="008F0EE1"/>
    <w:rsid w:val="00964568"/>
    <w:rsid w:val="00985173"/>
    <w:rsid w:val="00A00199"/>
    <w:rsid w:val="00A64015"/>
    <w:rsid w:val="00A74B74"/>
    <w:rsid w:val="00AB3785"/>
    <w:rsid w:val="00B2761A"/>
    <w:rsid w:val="00B77442"/>
    <w:rsid w:val="00B9158C"/>
    <w:rsid w:val="00C34AAB"/>
    <w:rsid w:val="00C5331E"/>
    <w:rsid w:val="00C55001"/>
    <w:rsid w:val="00C7596D"/>
    <w:rsid w:val="00CD1068"/>
    <w:rsid w:val="00CE5B31"/>
    <w:rsid w:val="00D0790F"/>
    <w:rsid w:val="00D261D7"/>
    <w:rsid w:val="00D26E2B"/>
    <w:rsid w:val="00D504D0"/>
    <w:rsid w:val="00D63EAE"/>
    <w:rsid w:val="00DA3C45"/>
    <w:rsid w:val="00DA61D1"/>
    <w:rsid w:val="00DB1383"/>
    <w:rsid w:val="00DF0F82"/>
    <w:rsid w:val="00E06703"/>
    <w:rsid w:val="00E10E52"/>
    <w:rsid w:val="00E77168"/>
    <w:rsid w:val="00EA3710"/>
    <w:rsid w:val="00F34C9F"/>
    <w:rsid w:val="00F52A94"/>
    <w:rsid w:val="00F6141A"/>
    <w:rsid w:val="00F87927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767863B3-603B-4492-945D-151C834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erdana" w:hAnsi="Verdana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53C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spacing w:line="360" w:lineRule="atLeast"/>
      <w:jc w:val="both"/>
      <w:outlineLvl w:val="6"/>
    </w:pPr>
    <w:rPr>
      <w:rFonts w:eastAsia="Times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styleId="Recuodecorpodetexto">
    <w:name w:val="Body Text Indent"/>
    <w:basedOn w:val="Normal"/>
    <w:pPr>
      <w:ind w:left="120" w:firstLine="2004"/>
      <w:jc w:val="both"/>
    </w:pPr>
    <w:rPr>
      <w:rFonts w:ascii="Verdana" w:hAnsi="Verdana"/>
    </w:rPr>
  </w:style>
  <w:style w:type="paragraph" w:customStyle="1" w:styleId="Corpodetexto31">
    <w:name w:val="Corpo de texto 31"/>
    <w:basedOn w:val="Normal"/>
    <w:pPr>
      <w:overflowPunct w:val="0"/>
      <w:autoSpaceDE w:val="0"/>
      <w:spacing w:line="300" w:lineRule="atLeast"/>
      <w:jc w:val="both"/>
    </w:pPr>
    <w:rPr>
      <w:b/>
      <w:bCs/>
      <w:sz w:val="26"/>
    </w:rPr>
  </w:style>
  <w:style w:type="paragraph" w:customStyle="1" w:styleId="Corpodetexto1">
    <w:name w:val="Corpo de texto1"/>
    <w:pPr>
      <w:suppressAutoHyphens/>
      <w:spacing w:line="300" w:lineRule="atLeast"/>
      <w:jc w:val="both"/>
    </w:pPr>
    <w:rPr>
      <w:rFonts w:ascii="New York" w:eastAsia="Arial" w:hAnsi="New York"/>
      <w:sz w:val="18"/>
      <w:lang w:val="en-US" w:eastAsia="ar-SA"/>
    </w:rPr>
  </w:style>
  <w:style w:type="paragraph" w:customStyle="1" w:styleId="CartaPort">
    <w:name w:val="Carta Port"/>
    <w:pPr>
      <w:suppressAutoHyphens/>
      <w:jc w:val="both"/>
    </w:pPr>
    <w:rPr>
      <w:rFonts w:eastAsia="Arial"/>
      <w:sz w:val="24"/>
      <w:lang w:eastAsia="ar-SA"/>
    </w:rPr>
  </w:style>
  <w:style w:type="paragraph" w:customStyle="1" w:styleId="bodytext">
    <w:name w:val="bodytext"/>
    <w:basedOn w:val="Normal"/>
    <w:pPr>
      <w:spacing w:before="280" w:after="280"/>
    </w:pPr>
  </w:style>
  <w:style w:type="paragraph" w:customStyle="1" w:styleId="IDEC">
    <w:name w:val="IDEC"/>
    <w:basedOn w:val="Normal"/>
    <w:pPr>
      <w:spacing w:line="363" w:lineRule="atLeast"/>
      <w:ind w:firstLine="2268"/>
      <w:jc w:val="both"/>
    </w:pPr>
    <w:rPr>
      <w:rFonts w:ascii="Tahoma" w:hAnsi="Tahoma"/>
    </w:rPr>
  </w:style>
  <w:style w:type="paragraph" w:customStyle="1" w:styleId="Default">
    <w:name w:val="Default"/>
    <w:basedOn w:val="Normal"/>
    <w:pPr>
      <w:autoSpaceDE w:val="0"/>
    </w:pPr>
    <w:rPr>
      <w:rFonts w:eastAsia="Times New Roman"/>
      <w:color w:val="000000"/>
      <w:lang w:eastAsia="hi-IN" w:bidi="hi-IN"/>
    </w:rPr>
  </w:style>
  <w:style w:type="character" w:customStyle="1" w:styleId="Ttulo5Char">
    <w:name w:val="Título 5 Char"/>
    <w:link w:val="Ttulo5"/>
    <w:uiPriority w:val="9"/>
    <w:semiHidden/>
    <w:rsid w:val="001C53C8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customStyle="1" w:styleId="Standard">
    <w:name w:val="Standard"/>
    <w:rsid w:val="001C53C8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 w:bidi="hi-IN"/>
    </w:rPr>
  </w:style>
  <w:style w:type="paragraph" w:customStyle="1" w:styleId="texto">
    <w:name w:val="texto"/>
    <w:rsid w:val="001C53C8"/>
    <w:pPr>
      <w:suppressAutoHyphens/>
      <w:spacing w:line="268" w:lineRule="atLeast"/>
      <w:ind w:firstLine="260"/>
      <w:jc w:val="both"/>
    </w:pPr>
    <w:rPr>
      <w:rFonts w:eastAsia="Arial"/>
      <w:color w:val="000000"/>
      <w:sz w:val="23"/>
      <w:lang w:eastAsia="zh-CN"/>
    </w:rPr>
  </w:style>
  <w:style w:type="paragraph" w:customStyle="1" w:styleId="Normal1">
    <w:name w:val="Normal1"/>
    <w:basedOn w:val="Normal"/>
    <w:rsid w:val="001C53C8"/>
    <w:pPr>
      <w:autoSpaceDE w:val="0"/>
    </w:pPr>
    <w:rPr>
      <w:rFonts w:eastAsia="Times New Roman"/>
      <w:color w:val="000000"/>
      <w:lang w:eastAsia="zh-CN" w:bidi="hi-IN"/>
    </w:rPr>
  </w:style>
  <w:style w:type="paragraph" w:styleId="Citao">
    <w:name w:val="Quote"/>
    <w:basedOn w:val="Normal"/>
    <w:link w:val="CitaoChar"/>
    <w:qFormat/>
    <w:rsid w:val="00F87927"/>
    <w:pPr>
      <w:spacing w:line="100" w:lineRule="atLeast"/>
      <w:ind w:left="1134"/>
      <w:jc w:val="both"/>
    </w:pPr>
    <w:rPr>
      <w:rFonts w:ascii="Tahoma" w:hAnsi="Tahoma" w:cs="Tahoma"/>
      <w:kern w:val="2"/>
      <w:lang w:val="x-none" w:eastAsia="zh-CN"/>
    </w:rPr>
  </w:style>
  <w:style w:type="character" w:customStyle="1" w:styleId="CitaoChar">
    <w:name w:val="Citação Char"/>
    <w:link w:val="Citao"/>
    <w:rsid w:val="00F87927"/>
    <w:rPr>
      <w:rFonts w:ascii="Tahoma" w:eastAsia="Arial Unicode MS" w:hAnsi="Tahoma" w:cs="Tahoma"/>
      <w:kern w:val="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sid w:val="00F87927"/>
    <w:pPr>
      <w:jc w:val="both"/>
    </w:pPr>
    <w:rPr>
      <w:rFonts w:ascii="Verdana" w:hAnsi="Verdana" w:cs="Verdana"/>
      <w:b/>
      <w:bCs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7EB"/>
    <w:rPr>
      <w:rFonts w:ascii="Segoe UI" w:eastAsia="Arial Unicode MS" w:hAnsi="Segoe UI" w:cs="Segoe UI"/>
      <w:kern w:val="1"/>
      <w:sz w:val="18"/>
      <w:szCs w:val="18"/>
    </w:rPr>
  </w:style>
  <w:style w:type="paragraph" w:customStyle="1" w:styleId="Corpodetexto22">
    <w:name w:val="Corpo de texto 22"/>
    <w:basedOn w:val="Normal"/>
    <w:rsid w:val="00A00199"/>
    <w:pPr>
      <w:overflowPunct w:val="0"/>
      <w:autoSpaceDE w:val="0"/>
      <w:ind w:firstLine="2832"/>
      <w:jc w:val="both"/>
      <w:textAlignment w:val="baseline"/>
    </w:pPr>
    <w:rPr>
      <w:sz w:val="28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6DF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F6DF9"/>
    <w:rPr>
      <w:rFonts w:eastAsia="Arial Unicode MS"/>
      <w:kern w:val="1"/>
    </w:rPr>
  </w:style>
  <w:style w:type="character" w:styleId="Refdenotaderodap">
    <w:name w:val="footnote reference"/>
    <w:uiPriority w:val="99"/>
    <w:semiHidden/>
    <w:unhideWhenUsed/>
    <w:rsid w:val="001F6DF9"/>
    <w:rPr>
      <w:vertAlign w:val="superscript"/>
    </w:rPr>
  </w:style>
  <w:style w:type="table" w:styleId="Tabelacomgrade">
    <w:name w:val="Table Grid"/>
    <w:basedOn w:val="Tabelanormal"/>
    <w:uiPriority w:val="39"/>
    <w:rsid w:val="00DF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46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ddress">
    <w:name w:val="address"/>
    <w:basedOn w:val="Fontepargpadro"/>
    <w:rsid w:val="0004046E"/>
  </w:style>
  <w:style w:type="character" w:customStyle="1" w:styleId="RodapChar">
    <w:name w:val="Rodapé Char"/>
    <w:basedOn w:val="Fontepargpadro"/>
    <w:link w:val="Rodap"/>
    <w:uiPriority w:val="99"/>
    <w:rsid w:val="00C34AAB"/>
    <w:rPr>
      <w:rFonts w:eastAsia="Arial Unicode MS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34AAB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fone.nin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ecnologia.ig.com.br/2017-06-07/telefone-ninja-virus.html" TargetMode="External"/><Relationship Id="rId3" Type="http://schemas.openxmlformats.org/officeDocument/2006/relationships/hyperlink" Target="http://www.telefone.ninja/static/sobre.html" TargetMode="External"/><Relationship Id="rId7" Type="http://schemas.openxmlformats.org/officeDocument/2006/relationships/hyperlink" Target="https://www.locaweb.com.br/default.html" TargetMode="External"/><Relationship Id="rId2" Type="http://schemas.openxmlformats.org/officeDocument/2006/relationships/hyperlink" Target="mailto:businesstop@post.com" TargetMode="External"/><Relationship Id="rId1" Type="http://schemas.openxmlformats.org/officeDocument/2006/relationships/hyperlink" Target="http://www.telefone.ninja/" TargetMode="External"/><Relationship Id="rId6" Type="http://schemas.openxmlformats.org/officeDocument/2006/relationships/hyperlink" Target="https://who.is/whois/telefone.ninja" TargetMode="External"/><Relationship Id="rId5" Type="http://schemas.openxmlformats.org/officeDocument/2006/relationships/hyperlink" Target="http://www.telefone.ninja/static/sobre.html" TargetMode="External"/><Relationship Id="rId4" Type="http://schemas.openxmlformats.org/officeDocument/2006/relationships/hyperlink" Target="http://www.anatel.gov.br/legislacao/resolucoes/2014/750-resolucao-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4A20-67E3-4CF4-BE92-113A9C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Zanatta</dc:creator>
  <cp:keywords/>
  <cp:lastModifiedBy>Barbara Simão</cp:lastModifiedBy>
  <cp:revision>5</cp:revision>
  <cp:lastPrinted>2013-12-11T21:32:00Z</cp:lastPrinted>
  <dcterms:created xsi:type="dcterms:W3CDTF">2017-06-07T14:48:00Z</dcterms:created>
  <dcterms:modified xsi:type="dcterms:W3CDTF">2017-06-07T15:12:00Z</dcterms:modified>
</cp:coreProperties>
</file>